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E8" w:rsidRPr="00BF3589" w:rsidRDefault="000E5CE8" w:rsidP="000E5CE8">
      <w:pPr>
        <w:tabs>
          <w:tab w:val="center" w:pos="1080"/>
          <w:tab w:val="center" w:pos="4680"/>
          <w:tab w:val="center" w:pos="8280"/>
        </w:tabs>
        <w:rPr>
          <w:rFonts w:ascii="Times New Roman" w:hAnsi="Times New Roman"/>
          <w:sz w:val="22"/>
          <w:szCs w:val="22"/>
        </w:rPr>
      </w:pPr>
      <w:bookmarkStart w:id="0" w:name="_GoBack"/>
      <w:bookmarkEnd w:id="0"/>
    </w:p>
    <w:p w:rsidR="00BF3589" w:rsidRPr="00BF3589" w:rsidRDefault="00BF3589" w:rsidP="00BF3589">
      <w:pPr>
        <w:tabs>
          <w:tab w:val="center" w:pos="1080"/>
          <w:tab w:val="center" w:pos="4680"/>
          <w:tab w:val="center" w:pos="8280"/>
        </w:tabs>
        <w:rPr>
          <w:rFonts w:ascii="Times New Roman" w:hAnsi="Times New Roman"/>
          <w:sz w:val="22"/>
          <w:szCs w:val="22"/>
        </w:rPr>
      </w:pPr>
    </w:p>
    <w:p w:rsidR="000E5CE8" w:rsidRPr="00BF3589" w:rsidRDefault="000E5CE8" w:rsidP="00BF3589">
      <w:pPr>
        <w:tabs>
          <w:tab w:val="center" w:pos="1080"/>
          <w:tab w:val="center" w:pos="4680"/>
          <w:tab w:val="center" w:pos="8280"/>
        </w:tabs>
        <w:rPr>
          <w:rFonts w:ascii="Times New Roman" w:hAnsi="Times New Roman"/>
          <w:sz w:val="22"/>
          <w:szCs w:val="22"/>
        </w:rPr>
      </w:pPr>
      <w:r w:rsidRPr="00BF3589">
        <w:rPr>
          <w:rFonts w:ascii="Times New Roman" w:hAnsi="Times New Roman"/>
          <w:sz w:val="22"/>
          <w:szCs w:val="22"/>
        </w:rPr>
        <w:t>August 14, 2020</w:t>
      </w:r>
    </w:p>
    <w:p w:rsidR="000E5CE8" w:rsidRPr="00BF3589" w:rsidRDefault="000E5CE8" w:rsidP="000E5CE8">
      <w:pPr>
        <w:ind w:right="720"/>
        <w:rPr>
          <w:rFonts w:ascii="Times New Roman" w:hAnsi="Times New Roman"/>
          <w:sz w:val="22"/>
          <w:szCs w:val="22"/>
        </w:rPr>
      </w:pPr>
    </w:p>
    <w:p w:rsidR="000E5CE8" w:rsidRPr="00BF3589" w:rsidRDefault="000E5CE8" w:rsidP="000E5CE8">
      <w:pPr>
        <w:ind w:right="720"/>
        <w:rPr>
          <w:rFonts w:ascii="Times New Roman" w:hAnsi="Times New Roman"/>
          <w:sz w:val="22"/>
          <w:szCs w:val="22"/>
        </w:rPr>
      </w:pPr>
      <w:r w:rsidRPr="00BF3589">
        <w:rPr>
          <w:rFonts w:ascii="Times New Roman" w:hAnsi="Times New Roman"/>
          <w:sz w:val="22"/>
          <w:szCs w:val="22"/>
        </w:rPr>
        <w:t>Catherine Englebrecht</w:t>
      </w:r>
    </w:p>
    <w:p w:rsidR="000E5CE8" w:rsidRPr="00BF3589" w:rsidRDefault="000E5CE8" w:rsidP="000E5CE8">
      <w:pPr>
        <w:ind w:right="720"/>
        <w:rPr>
          <w:rFonts w:ascii="Times New Roman" w:hAnsi="Times New Roman"/>
          <w:sz w:val="22"/>
          <w:szCs w:val="22"/>
        </w:rPr>
      </w:pPr>
      <w:r w:rsidRPr="00BF3589">
        <w:rPr>
          <w:rFonts w:ascii="Times New Roman" w:hAnsi="Times New Roman"/>
          <w:sz w:val="22"/>
          <w:szCs w:val="22"/>
        </w:rPr>
        <w:t>True the Vote President</w:t>
      </w:r>
    </w:p>
    <w:p w:rsidR="000E5CE8" w:rsidRPr="00BF3589" w:rsidRDefault="000E5CE8" w:rsidP="000E5CE8">
      <w:pPr>
        <w:ind w:right="720"/>
        <w:rPr>
          <w:rFonts w:ascii="Times New Roman" w:hAnsi="Times New Roman"/>
          <w:sz w:val="22"/>
          <w:szCs w:val="22"/>
        </w:rPr>
      </w:pPr>
      <w:r w:rsidRPr="00BF3589">
        <w:rPr>
          <w:rFonts w:ascii="Times New Roman" w:hAnsi="Times New Roman"/>
          <w:sz w:val="22"/>
          <w:szCs w:val="22"/>
        </w:rPr>
        <w:t>PO Box 3109</w:t>
      </w:r>
    </w:p>
    <w:p w:rsidR="000E5CE8" w:rsidRPr="00BF3589" w:rsidRDefault="000E5CE8" w:rsidP="000E5CE8">
      <w:pPr>
        <w:ind w:right="720"/>
        <w:rPr>
          <w:rFonts w:ascii="Times New Roman" w:eastAsia="Calibri" w:hAnsi="Times New Roman"/>
          <w:sz w:val="22"/>
          <w:szCs w:val="22"/>
        </w:rPr>
      </w:pPr>
      <w:r w:rsidRPr="00BF3589">
        <w:rPr>
          <w:rFonts w:ascii="Times New Roman" w:hAnsi="Times New Roman"/>
          <w:sz w:val="22"/>
          <w:szCs w:val="22"/>
        </w:rPr>
        <w:t>Houston, TX 77253-3109</w:t>
      </w:r>
    </w:p>
    <w:p w:rsidR="000E5CE8" w:rsidRPr="00BF3589" w:rsidRDefault="000E5CE8" w:rsidP="000E5CE8">
      <w:pPr>
        <w:ind w:right="720"/>
        <w:rPr>
          <w:rFonts w:ascii="Times New Roman" w:hAnsi="Times New Roman"/>
          <w:sz w:val="22"/>
          <w:szCs w:val="22"/>
        </w:rPr>
      </w:pPr>
    </w:p>
    <w:p w:rsidR="000E5CE8" w:rsidRPr="00BF3589" w:rsidRDefault="000E5CE8" w:rsidP="000E5CE8">
      <w:pPr>
        <w:ind w:right="720"/>
        <w:jc w:val="center"/>
        <w:rPr>
          <w:rFonts w:ascii="Times New Roman" w:hAnsi="Times New Roman"/>
          <w:b/>
          <w:sz w:val="22"/>
          <w:szCs w:val="22"/>
        </w:rPr>
      </w:pPr>
      <w:r w:rsidRPr="00BF3589">
        <w:rPr>
          <w:rFonts w:ascii="Times New Roman" w:hAnsi="Times New Roman"/>
          <w:b/>
          <w:sz w:val="22"/>
          <w:szCs w:val="22"/>
        </w:rPr>
        <w:t xml:space="preserve">Re: FOIA Records Request for </w:t>
      </w:r>
      <w:r w:rsidR="009A26F0" w:rsidRPr="00BF3589">
        <w:rPr>
          <w:rFonts w:ascii="Times New Roman" w:hAnsi="Times New Roman"/>
          <w:b/>
          <w:sz w:val="22"/>
          <w:szCs w:val="22"/>
        </w:rPr>
        <w:t>Election Worker and Process Information</w:t>
      </w:r>
      <w:r w:rsidRPr="00BF3589">
        <w:rPr>
          <w:rFonts w:ascii="Times New Roman" w:hAnsi="Times New Roman"/>
          <w:b/>
          <w:sz w:val="22"/>
          <w:szCs w:val="22"/>
        </w:rPr>
        <w:t xml:space="preserve"> </w:t>
      </w:r>
    </w:p>
    <w:p w:rsidR="000E5CE8" w:rsidRPr="00BF3589" w:rsidRDefault="000E5CE8" w:rsidP="000E5CE8">
      <w:pPr>
        <w:ind w:right="720"/>
        <w:rPr>
          <w:rFonts w:ascii="Times New Roman" w:hAnsi="Times New Roman"/>
          <w:sz w:val="22"/>
          <w:szCs w:val="22"/>
        </w:rPr>
      </w:pPr>
    </w:p>
    <w:p w:rsidR="000E5CE8" w:rsidRPr="00BF3589" w:rsidRDefault="000E5CE8" w:rsidP="000E5CE8">
      <w:pPr>
        <w:ind w:right="720"/>
        <w:rPr>
          <w:rFonts w:ascii="Times New Roman" w:hAnsi="Times New Roman"/>
          <w:sz w:val="22"/>
          <w:szCs w:val="22"/>
        </w:rPr>
      </w:pPr>
      <w:r w:rsidRPr="00BF3589">
        <w:rPr>
          <w:rFonts w:ascii="Times New Roman" w:hAnsi="Times New Roman"/>
          <w:sz w:val="22"/>
          <w:szCs w:val="22"/>
        </w:rPr>
        <w:t>Dear Ms. Englebrecht:</w:t>
      </w:r>
    </w:p>
    <w:p w:rsidR="000E5CE8" w:rsidRPr="00BF3589" w:rsidRDefault="000E5CE8" w:rsidP="000E5CE8">
      <w:pPr>
        <w:ind w:right="720"/>
        <w:rPr>
          <w:rFonts w:ascii="Times New Roman" w:hAnsi="Times New Roman"/>
          <w:sz w:val="22"/>
          <w:szCs w:val="22"/>
        </w:rPr>
      </w:pPr>
    </w:p>
    <w:p w:rsidR="000E5CE8" w:rsidRPr="00BF3589" w:rsidRDefault="000E5CE8" w:rsidP="0087499B">
      <w:pPr>
        <w:jc w:val="both"/>
        <w:rPr>
          <w:rFonts w:ascii="Times New Roman" w:hAnsi="Times New Roman"/>
          <w:sz w:val="22"/>
          <w:szCs w:val="22"/>
        </w:rPr>
      </w:pPr>
      <w:r w:rsidRPr="00BF3589">
        <w:rPr>
          <w:rFonts w:ascii="Times New Roman" w:hAnsi="Times New Roman"/>
          <w:sz w:val="22"/>
          <w:szCs w:val="22"/>
        </w:rPr>
        <w:t xml:space="preserve">The Township is in receipt of your </w:t>
      </w:r>
      <w:r w:rsidR="00A37241" w:rsidRPr="00BF3589">
        <w:rPr>
          <w:rFonts w:ascii="Times New Roman" w:hAnsi="Times New Roman"/>
          <w:sz w:val="22"/>
          <w:szCs w:val="22"/>
        </w:rPr>
        <w:t xml:space="preserve">corrected </w:t>
      </w:r>
      <w:r w:rsidRPr="00BF3589">
        <w:rPr>
          <w:rFonts w:ascii="Times New Roman" w:hAnsi="Times New Roman"/>
          <w:sz w:val="22"/>
          <w:szCs w:val="22"/>
        </w:rPr>
        <w:t>F</w:t>
      </w:r>
      <w:r w:rsidR="00A37241" w:rsidRPr="00BF3589">
        <w:rPr>
          <w:rFonts w:ascii="Times New Roman" w:hAnsi="Times New Roman"/>
          <w:sz w:val="22"/>
          <w:szCs w:val="22"/>
        </w:rPr>
        <w:t>re</w:t>
      </w:r>
      <w:r w:rsidR="0087499B">
        <w:rPr>
          <w:rFonts w:ascii="Times New Roman" w:hAnsi="Times New Roman"/>
          <w:sz w:val="22"/>
          <w:szCs w:val="22"/>
        </w:rPr>
        <w:t>edom of Information Act</w:t>
      </w:r>
      <w:r w:rsidR="00A37241" w:rsidRPr="00BF3589">
        <w:rPr>
          <w:rFonts w:ascii="Times New Roman" w:hAnsi="Times New Roman"/>
          <w:sz w:val="22"/>
          <w:szCs w:val="22"/>
        </w:rPr>
        <w:t xml:space="preserve"> r</w:t>
      </w:r>
      <w:r w:rsidRPr="00BF3589">
        <w:rPr>
          <w:rFonts w:ascii="Times New Roman" w:hAnsi="Times New Roman"/>
          <w:sz w:val="22"/>
          <w:szCs w:val="22"/>
        </w:rPr>
        <w:t>equest dated August 7, 2020 and received by the Township on August 1</w:t>
      </w:r>
      <w:r w:rsidR="000B7D8B" w:rsidRPr="00BF3589">
        <w:rPr>
          <w:rFonts w:ascii="Times New Roman" w:hAnsi="Times New Roman"/>
          <w:sz w:val="22"/>
          <w:szCs w:val="22"/>
        </w:rPr>
        <w:t>0</w:t>
      </w:r>
      <w:r w:rsidRPr="00BF3589">
        <w:rPr>
          <w:rFonts w:ascii="Times New Roman" w:hAnsi="Times New Roman"/>
          <w:sz w:val="22"/>
          <w:szCs w:val="22"/>
        </w:rPr>
        <w:t>, 2020</w:t>
      </w:r>
      <w:r w:rsidR="00A37241" w:rsidRPr="00BF3589">
        <w:rPr>
          <w:rFonts w:ascii="Times New Roman" w:hAnsi="Times New Roman"/>
          <w:sz w:val="22"/>
          <w:szCs w:val="22"/>
        </w:rPr>
        <w:t xml:space="preserve"> (effective August 11, 2020 pursuant to the FOIA)</w:t>
      </w:r>
      <w:r w:rsidRPr="00BF3589">
        <w:rPr>
          <w:rFonts w:ascii="Times New Roman" w:hAnsi="Times New Roman"/>
          <w:sz w:val="22"/>
          <w:szCs w:val="22"/>
        </w:rPr>
        <w:t xml:space="preserve">, </w:t>
      </w:r>
      <w:r w:rsidR="00A37241" w:rsidRPr="00BF3589">
        <w:rPr>
          <w:rFonts w:ascii="Times New Roman" w:hAnsi="Times New Roman"/>
          <w:sz w:val="22"/>
          <w:szCs w:val="22"/>
        </w:rPr>
        <w:t xml:space="preserve">as follows:  </w:t>
      </w:r>
    </w:p>
    <w:p w:rsidR="009A26F0" w:rsidRPr="00BF3589" w:rsidRDefault="000E5CE8" w:rsidP="00A37241">
      <w:pPr>
        <w:pStyle w:val="NormalWeb"/>
        <w:ind w:left="576" w:right="576" w:firstLine="720"/>
        <w:jc w:val="both"/>
        <w:rPr>
          <w:rFonts w:eastAsia="Calibri"/>
          <w:bCs/>
          <w:sz w:val="22"/>
          <w:szCs w:val="22"/>
        </w:rPr>
      </w:pPr>
      <w:r w:rsidRPr="00BF3589">
        <w:rPr>
          <w:rFonts w:eastAsia="Calibri"/>
          <w:sz w:val="22"/>
          <w:szCs w:val="22"/>
        </w:rPr>
        <w:br/>
        <w:t>“</w:t>
      </w:r>
      <w:r w:rsidR="009A26F0" w:rsidRPr="00BF3589">
        <w:rPr>
          <w:rFonts w:eastAsia="Calibri"/>
          <w:bCs/>
          <w:sz w:val="22"/>
          <w:szCs w:val="22"/>
        </w:rPr>
        <w:t>Pursuant to the provisions of the Michigan Freedom of Information Act, § 15.231 et seq., we respectfully request to be provided with electronic copies of each of the following documents, files, or images, as soon as they become available. You need not wait until the entire request is satisfied before providing documents that are ready for production. </w:t>
      </w:r>
    </w:p>
    <w:p w:rsidR="00A37241" w:rsidRPr="00BF3589" w:rsidRDefault="00A37241" w:rsidP="00A37241">
      <w:pPr>
        <w:pStyle w:val="NormalWeb"/>
        <w:ind w:left="576" w:right="576" w:firstLine="720"/>
        <w:jc w:val="both"/>
        <w:rPr>
          <w:rFonts w:eastAsia="Calibri"/>
          <w:bCs/>
          <w:sz w:val="22"/>
          <w:szCs w:val="22"/>
        </w:rPr>
      </w:pPr>
    </w:p>
    <w:p w:rsidR="009A26F0" w:rsidRPr="00BF3589" w:rsidRDefault="00A37241"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ab/>
      </w:r>
      <w:r w:rsidR="009A26F0" w:rsidRPr="00BF3589">
        <w:rPr>
          <w:rFonts w:eastAsia="Calibri"/>
          <w:bCs/>
          <w:sz w:val="22"/>
          <w:szCs w:val="22"/>
        </w:rPr>
        <w:t>What is the process for citizens to apply to serve as election workers in the 2020 General Election?</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What election worker positions are available in your county, either paid or volunteer for the 2020 General Election? Please provide job responsibilities, by type.</w:t>
      </w:r>
    </w:p>
    <w:p w:rsidR="009A26F0" w:rsidRPr="00BF3589" w:rsidRDefault="00A37241"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ab/>
      </w:r>
      <w:r w:rsidR="009A26F0" w:rsidRPr="00BF3589">
        <w:rPr>
          <w:rFonts w:eastAsia="Calibri"/>
          <w:bCs/>
          <w:sz w:val="22"/>
          <w:szCs w:val="22"/>
        </w:rPr>
        <w:t>What qualifications are necessary in order to serve as an election worker in the 2020 General Election (ex. age requirements, residency, citizenship)?</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How many positions are available, by type, for the 2020 General Election?</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What is the deadline by which to apply to work in the 2020 General Election?</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Is election worker training provided? </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If so, please provide a copy of the training curriculum (or online link)?</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What is the specific process by which absentee and/or mail-in ballots are being verified in the 2020 General Election?</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What is the specific process by which voter signatures will be verified on absentee and/or mail-in ballots in the 2020 General Election?</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What scanning or other signature comparison software(s) will be used in the 2020 General Election?</w:t>
      </w:r>
    </w:p>
    <w:p w:rsidR="009A26F0"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Is absentee and/or mail-in ballot signature training provided? </w:t>
      </w:r>
    </w:p>
    <w:p w:rsidR="00A37241" w:rsidRPr="00BF3589" w:rsidRDefault="009A26F0" w:rsidP="00A37241">
      <w:pPr>
        <w:pStyle w:val="NormalWeb"/>
        <w:numPr>
          <w:ilvl w:val="0"/>
          <w:numId w:val="7"/>
        </w:numPr>
        <w:ind w:left="1296" w:right="576" w:hanging="720"/>
        <w:jc w:val="both"/>
        <w:rPr>
          <w:rFonts w:eastAsia="Calibri"/>
          <w:bCs/>
          <w:sz w:val="22"/>
          <w:szCs w:val="22"/>
        </w:rPr>
      </w:pPr>
      <w:r w:rsidRPr="00BF3589">
        <w:rPr>
          <w:rFonts w:eastAsia="Calibri"/>
          <w:bCs/>
          <w:sz w:val="22"/>
          <w:szCs w:val="22"/>
        </w:rPr>
        <w:t>If so, please provide a copy of the training curriculum (or online link)?</w:t>
      </w:r>
      <w:r w:rsidR="000E5CE8" w:rsidRPr="00BF3589">
        <w:rPr>
          <w:sz w:val="22"/>
          <w:szCs w:val="22"/>
        </w:rPr>
        <w:t>”</w:t>
      </w:r>
    </w:p>
    <w:p w:rsidR="00A37241" w:rsidRPr="00BF3589" w:rsidRDefault="00A37241" w:rsidP="00A37241">
      <w:pPr>
        <w:pStyle w:val="NormalWeb"/>
        <w:ind w:left="1296" w:right="576"/>
        <w:jc w:val="both"/>
        <w:rPr>
          <w:sz w:val="22"/>
          <w:szCs w:val="22"/>
        </w:rPr>
      </w:pPr>
    </w:p>
    <w:p w:rsidR="00A37241" w:rsidRPr="00BF3589" w:rsidRDefault="00A37241" w:rsidP="0087499B">
      <w:pPr>
        <w:pStyle w:val="NormalWeb"/>
        <w:jc w:val="both"/>
        <w:rPr>
          <w:rFonts w:eastAsia="Calibri"/>
          <w:sz w:val="22"/>
          <w:szCs w:val="22"/>
        </w:rPr>
      </w:pPr>
      <w:r w:rsidRPr="00BF3589">
        <w:rPr>
          <w:rFonts w:eastAsia="Calibri"/>
          <w:sz w:val="22"/>
          <w:szCs w:val="22"/>
        </w:rPr>
        <w:t xml:space="preserve">The Township denies your request, because it is not a request for a “public record”.  The Michigan FOIA defines a “public record” as “a writing owned, used, in the possession of or retained by a public body in the performance of an official function , from the time it is created. Public record does not include computer software”.   As to each item you have requested, the township responds as follows: </w:t>
      </w:r>
    </w:p>
    <w:p w:rsidR="00A37241" w:rsidRPr="00BF3589" w:rsidRDefault="00A37241" w:rsidP="00A37241">
      <w:pPr>
        <w:pStyle w:val="NormalWeb"/>
        <w:ind w:right="576"/>
        <w:jc w:val="both"/>
        <w:rPr>
          <w:rFonts w:eastAsia="Calibri"/>
          <w:bCs/>
          <w:sz w:val="22"/>
          <w:szCs w:val="22"/>
        </w:rPr>
      </w:pP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lastRenderedPageBreak/>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9A26F0"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D8677D" w:rsidRPr="00BF3589" w:rsidRDefault="009A26F0" w:rsidP="00A37241">
      <w:pPr>
        <w:numPr>
          <w:ilvl w:val="0"/>
          <w:numId w:val="8"/>
        </w:numPr>
        <w:ind w:left="1296" w:right="576" w:hanging="720"/>
        <w:contextualSpacing/>
        <w:jc w:val="both"/>
        <w:rPr>
          <w:rFonts w:ascii="Times New Roman" w:eastAsia="Calibri" w:hAnsi="Times New Roman"/>
          <w:sz w:val="22"/>
          <w:szCs w:val="22"/>
        </w:rPr>
      </w:pPr>
      <w:r w:rsidRPr="00BF3589">
        <w:rPr>
          <w:rFonts w:ascii="Times New Roman" w:eastAsia="Calibri" w:hAnsi="Times New Roman"/>
          <w:sz w:val="22"/>
          <w:szCs w:val="22"/>
        </w:rPr>
        <w:t>This is not a request for the disclosure of a certain public record, and therefore no such records exist in possession of the Township.</w:t>
      </w:r>
    </w:p>
    <w:p w:rsidR="00A37241" w:rsidRPr="00BF3589" w:rsidRDefault="00A37241" w:rsidP="00A37241">
      <w:pPr>
        <w:ind w:left="576" w:right="576" w:hanging="486"/>
        <w:jc w:val="both"/>
        <w:rPr>
          <w:rFonts w:ascii="Times New Roman" w:hAnsi="Times New Roman"/>
          <w:sz w:val="22"/>
          <w:szCs w:val="22"/>
        </w:rPr>
      </w:pPr>
    </w:p>
    <w:p w:rsidR="00A37241" w:rsidRPr="00BF3589" w:rsidRDefault="00A37241" w:rsidP="0087499B">
      <w:pPr>
        <w:jc w:val="both"/>
        <w:rPr>
          <w:rFonts w:ascii="Times New Roman" w:hAnsi="Times New Roman"/>
          <w:sz w:val="22"/>
          <w:szCs w:val="22"/>
        </w:rPr>
      </w:pPr>
      <w:r w:rsidRPr="00BF3589">
        <w:rPr>
          <w:rFonts w:ascii="Times New Roman" w:hAnsi="Times New Roman"/>
          <w:sz w:val="22"/>
          <w:szCs w:val="22"/>
        </w:rPr>
        <w:t xml:space="preserve">Because the </w:t>
      </w:r>
      <w:r w:rsidR="000E5CE8" w:rsidRPr="00BF3589">
        <w:rPr>
          <w:rFonts w:ascii="Times New Roman" w:hAnsi="Times New Roman"/>
          <w:sz w:val="22"/>
          <w:szCs w:val="22"/>
        </w:rPr>
        <w:t xml:space="preserve">Township has </w:t>
      </w:r>
      <w:r w:rsidR="009A26F0" w:rsidRPr="00BF3589">
        <w:rPr>
          <w:rFonts w:ascii="Times New Roman" w:hAnsi="Times New Roman"/>
          <w:sz w:val="22"/>
          <w:szCs w:val="22"/>
        </w:rPr>
        <w:t>denied</w:t>
      </w:r>
      <w:r w:rsidR="000E5CE8" w:rsidRPr="00BF3589">
        <w:rPr>
          <w:rFonts w:ascii="Times New Roman" w:hAnsi="Times New Roman"/>
          <w:sz w:val="22"/>
          <w:szCs w:val="22"/>
        </w:rPr>
        <w:t xml:space="preserve"> your FOIA request, </w:t>
      </w:r>
      <w:r w:rsidRPr="00BF3589">
        <w:rPr>
          <w:rFonts w:ascii="Times New Roman" w:hAnsi="Times New Roman"/>
          <w:sz w:val="22"/>
          <w:szCs w:val="22"/>
        </w:rPr>
        <w:t xml:space="preserve">we provide your appeal rights as established in Section 10 of the FOIA reprinted herein: </w:t>
      </w:r>
    </w:p>
    <w:p w:rsidR="00A37241" w:rsidRPr="00BF3589" w:rsidRDefault="00A37241" w:rsidP="00A37241">
      <w:pPr>
        <w:ind w:right="576"/>
        <w:jc w:val="both"/>
        <w:rPr>
          <w:rFonts w:ascii="Times New Roman" w:hAnsi="Times New Roman"/>
          <w:sz w:val="22"/>
          <w:szCs w:val="22"/>
        </w:rPr>
      </w:pPr>
      <w:r w:rsidRPr="00BF3589">
        <w:rPr>
          <w:rFonts w:ascii="Times New Roman" w:hAnsi="Times New Roman"/>
          <w:sz w:val="22"/>
          <w:szCs w:val="22"/>
        </w:rPr>
        <w:t xml:space="preserve">   </w:t>
      </w:r>
    </w:p>
    <w:p w:rsidR="00A37241" w:rsidRPr="00BF3589" w:rsidRDefault="00A37241" w:rsidP="00A37241">
      <w:pPr>
        <w:ind w:left="720" w:right="720"/>
        <w:jc w:val="both"/>
        <w:rPr>
          <w:rFonts w:ascii="Times New Roman" w:hAnsi="Times New Roman"/>
          <w:sz w:val="22"/>
          <w:szCs w:val="22"/>
        </w:rPr>
      </w:pPr>
      <w:r w:rsidRPr="00BF3589">
        <w:rPr>
          <w:rFonts w:ascii="Times New Roman" w:hAnsi="Times New Roman"/>
          <w:sz w:val="22"/>
          <w:szCs w:val="22"/>
        </w:rPr>
        <w:t>“ Sec. 10.</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(1) If a public body makes a final determination to deny all or a portion of a request, the requesting person may do 1 of the following at his or her option:</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(a) Submit to the head of the public body a written appeal that specifically states the word "appeal" and identifies the reason or reasons for reversal of the denial.</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(b) Commence a civil action in the circuit court, or if the decision of a state public body is at issue, the court of claims, to compel the public body's disclosure of the public records within 180 days after a public body's final determination to deny a request.</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(2) Within 10 business days after receiving a written appeal pursuant to subsection (1)(a), the head of a public body shall do 1 of the following:</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(a) Reverse the disclosure denial.</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(b) Issue a written notice to the requesting person upholding the disclosure denial.</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(c) Reverse the disclosure denial in part and issue a written notice to the requesting person upholding the disclosure denial in part.</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xml:space="preserve">  (4) In an action commenced under subsection (1)(b), a court that determines a public record is not exempt from disclosure shall order the public body to cease withholding or </w:t>
      </w:r>
      <w:r w:rsidRPr="00BF3589">
        <w:rPr>
          <w:rFonts w:ascii="Times New Roman" w:hAnsi="Times New Roman"/>
          <w:sz w:val="22"/>
          <w:szCs w:val="22"/>
        </w:rPr>
        <w:lastRenderedPageBreak/>
        <w:t>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(5) An action commenced under this section and an appeal from an action commenced under this section shall be assigned for hearing and trial or for argument at the earliest practicable date and expedited in every way.</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A37241" w:rsidRPr="00BF3589" w:rsidRDefault="00A37241" w:rsidP="00A37241">
      <w:pPr>
        <w:shd w:val="clear" w:color="auto" w:fill="FFFFFF"/>
        <w:ind w:left="720" w:right="720"/>
        <w:jc w:val="both"/>
        <w:rPr>
          <w:rFonts w:ascii="Times New Roman" w:hAnsi="Times New Roman"/>
          <w:sz w:val="22"/>
          <w:szCs w:val="22"/>
        </w:rPr>
      </w:pPr>
      <w:r w:rsidRPr="00BF3589">
        <w:rPr>
          <w:rFonts w:ascii="Times New Roman" w:hAnsi="Times New Roman"/>
          <w:sz w:val="22"/>
          <w:szCs w:val="22"/>
        </w:rPr>
        <w:t>  (7)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p>
    <w:p w:rsidR="00A37241" w:rsidRPr="00BF3589" w:rsidRDefault="00A37241" w:rsidP="00A37241">
      <w:pPr>
        <w:shd w:val="clear" w:color="auto" w:fill="FFFFFF"/>
        <w:ind w:left="720" w:right="720"/>
        <w:jc w:val="both"/>
        <w:rPr>
          <w:rFonts w:ascii="Times New Roman" w:hAnsi="Times New Roman"/>
          <w:sz w:val="22"/>
          <w:szCs w:val="22"/>
        </w:rPr>
      </w:pPr>
    </w:p>
    <w:p w:rsidR="00BF3589" w:rsidRPr="00BF3589" w:rsidRDefault="00BF3589" w:rsidP="00BF3589">
      <w:pPr>
        <w:shd w:val="clear" w:color="auto" w:fill="FFFFFF"/>
        <w:jc w:val="both"/>
        <w:rPr>
          <w:rFonts w:ascii="Times New Roman" w:hAnsi="Times New Roman"/>
          <w:sz w:val="22"/>
          <w:szCs w:val="22"/>
        </w:rPr>
      </w:pPr>
      <w:r w:rsidRPr="00BF3589">
        <w:rPr>
          <w:rFonts w:ascii="Times New Roman" w:hAnsi="Times New Roman"/>
          <w:sz w:val="22"/>
          <w:szCs w:val="22"/>
        </w:rPr>
        <w:t>There is no charge associated with this request as the cost to respond electronically was de</w:t>
      </w:r>
      <w:r w:rsidR="0087499B">
        <w:rPr>
          <w:rFonts w:ascii="Times New Roman" w:hAnsi="Times New Roman"/>
          <w:sz w:val="22"/>
          <w:szCs w:val="22"/>
        </w:rPr>
        <w:t xml:space="preserve"> </w:t>
      </w:r>
      <w:r w:rsidRPr="00BF3589">
        <w:rPr>
          <w:rFonts w:ascii="Times New Roman" w:hAnsi="Times New Roman"/>
          <w:sz w:val="22"/>
          <w:szCs w:val="22"/>
        </w:rPr>
        <w:t>minimis.</w:t>
      </w:r>
    </w:p>
    <w:p w:rsidR="00BF3589" w:rsidRPr="00BF3589" w:rsidRDefault="00BF3589" w:rsidP="00BF3589">
      <w:pPr>
        <w:shd w:val="clear" w:color="auto" w:fill="FFFFFF"/>
        <w:jc w:val="both"/>
        <w:rPr>
          <w:rFonts w:ascii="Times New Roman" w:hAnsi="Times New Roman"/>
          <w:sz w:val="22"/>
          <w:szCs w:val="22"/>
        </w:rPr>
      </w:pPr>
    </w:p>
    <w:p w:rsidR="000E5CE8" w:rsidRPr="00BF3589" w:rsidRDefault="00A37241" w:rsidP="00BF3589">
      <w:pPr>
        <w:shd w:val="clear" w:color="auto" w:fill="FFFFFF"/>
        <w:jc w:val="both"/>
        <w:rPr>
          <w:rFonts w:ascii="Times New Roman" w:hAnsi="Times New Roman"/>
          <w:sz w:val="22"/>
          <w:szCs w:val="22"/>
        </w:rPr>
      </w:pPr>
      <w:r w:rsidRPr="00BF3589">
        <w:rPr>
          <w:rFonts w:ascii="Times New Roman" w:hAnsi="Times New Roman"/>
          <w:sz w:val="22"/>
          <w:szCs w:val="22"/>
        </w:rPr>
        <w:t xml:space="preserve">The Township’s FOIA forms are provided on its website at </w:t>
      </w:r>
      <w:hyperlink r:id="rId7" w:history="1">
        <w:r w:rsidR="00BF3589" w:rsidRPr="00BF575D">
          <w:rPr>
            <w:rStyle w:val="Hyperlink"/>
            <w:rFonts w:ascii="Times New Roman" w:hAnsi="Times New Roman"/>
            <w:sz w:val="22"/>
            <w:szCs w:val="22"/>
          </w:rPr>
          <w:t>www._______________.com</w:t>
        </w:r>
      </w:hyperlink>
      <w:r w:rsidR="00BF3589">
        <w:rPr>
          <w:rFonts w:ascii="Times New Roman" w:hAnsi="Times New Roman"/>
          <w:sz w:val="22"/>
          <w:szCs w:val="22"/>
        </w:rPr>
        <w:t xml:space="preserve"> </w:t>
      </w:r>
      <w:r w:rsidRPr="00BF3589">
        <w:rPr>
          <w:rFonts w:ascii="Times New Roman" w:hAnsi="Times New Roman"/>
          <w:sz w:val="22"/>
          <w:szCs w:val="22"/>
        </w:rPr>
        <w:t xml:space="preserve">    </w:t>
      </w:r>
    </w:p>
    <w:p w:rsidR="00322597" w:rsidRPr="00BF3589" w:rsidRDefault="00322597" w:rsidP="00A37241">
      <w:pPr>
        <w:autoSpaceDE w:val="0"/>
        <w:autoSpaceDN w:val="0"/>
        <w:ind w:left="576" w:right="576" w:firstLine="720"/>
        <w:jc w:val="both"/>
        <w:rPr>
          <w:rFonts w:ascii="Times New Roman" w:hAnsi="Times New Roman"/>
          <w:sz w:val="22"/>
          <w:szCs w:val="22"/>
        </w:rPr>
      </w:pPr>
    </w:p>
    <w:p w:rsidR="00322597" w:rsidRPr="00BF3589" w:rsidRDefault="00322597" w:rsidP="00A37241">
      <w:pPr>
        <w:autoSpaceDE w:val="0"/>
        <w:autoSpaceDN w:val="0"/>
        <w:ind w:left="576" w:right="576" w:firstLine="720"/>
        <w:jc w:val="both"/>
        <w:rPr>
          <w:rFonts w:ascii="Times New Roman" w:hAnsi="Times New Roman"/>
          <w:sz w:val="22"/>
          <w:szCs w:val="22"/>
        </w:rPr>
      </w:pPr>
    </w:p>
    <w:p w:rsidR="00322597" w:rsidRPr="00BF3589" w:rsidRDefault="00322597" w:rsidP="00A37241">
      <w:pPr>
        <w:autoSpaceDE w:val="0"/>
        <w:autoSpaceDN w:val="0"/>
        <w:ind w:left="576" w:right="576" w:firstLine="720"/>
        <w:jc w:val="both"/>
        <w:rPr>
          <w:rFonts w:ascii="Times New Roman" w:hAnsi="Times New Roman"/>
          <w:sz w:val="22"/>
          <w:szCs w:val="22"/>
        </w:rPr>
      </w:pPr>
    </w:p>
    <w:p w:rsidR="000E5CE8" w:rsidRPr="00BF3589" w:rsidRDefault="00B81E81" w:rsidP="00A37241">
      <w:pPr>
        <w:autoSpaceDE w:val="0"/>
        <w:autoSpaceDN w:val="0"/>
        <w:ind w:left="576" w:right="576" w:firstLine="720"/>
        <w:jc w:val="both"/>
        <w:rPr>
          <w:rFonts w:ascii="Times New Roman" w:hAnsi="Times New Roman"/>
          <w:sz w:val="22"/>
          <w:szCs w:val="22"/>
        </w:rPr>
      </w:pPr>
      <w:r w:rsidRPr="00BF3589">
        <w:rPr>
          <w:rFonts w:ascii="Times New Roman" w:hAnsi="Times New Roman"/>
          <w:sz w:val="22"/>
          <w:szCs w:val="22"/>
        </w:rPr>
        <w:tab/>
      </w:r>
      <w:r w:rsidRPr="00BF3589">
        <w:rPr>
          <w:rFonts w:ascii="Times New Roman" w:hAnsi="Times New Roman"/>
          <w:sz w:val="22"/>
          <w:szCs w:val="22"/>
        </w:rPr>
        <w:tab/>
      </w:r>
      <w:r w:rsidRPr="00BF3589">
        <w:rPr>
          <w:rFonts w:ascii="Times New Roman" w:hAnsi="Times New Roman"/>
          <w:sz w:val="22"/>
          <w:szCs w:val="22"/>
        </w:rPr>
        <w:tab/>
      </w:r>
      <w:r w:rsidRPr="00BF3589">
        <w:rPr>
          <w:rFonts w:ascii="Times New Roman" w:hAnsi="Times New Roman"/>
          <w:sz w:val="22"/>
          <w:szCs w:val="22"/>
        </w:rPr>
        <w:tab/>
      </w:r>
      <w:r w:rsidRPr="00BF3589">
        <w:rPr>
          <w:rFonts w:ascii="Times New Roman" w:hAnsi="Times New Roman"/>
          <w:sz w:val="22"/>
          <w:szCs w:val="22"/>
        </w:rPr>
        <w:tab/>
      </w:r>
      <w:r w:rsidRPr="00BF3589">
        <w:rPr>
          <w:rFonts w:ascii="Times New Roman" w:hAnsi="Times New Roman"/>
          <w:sz w:val="22"/>
          <w:szCs w:val="22"/>
        </w:rPr>
        <w:tab/>
      </w:r>
      <w:r w:rsidR="000E5CE8" w:rsidRPr="00BF3589">
        <w:rPr>
          <w:rFonts w:ascii="Times New Roman" w:hAnsi="Times New Roman"/>
          <w:sz w:val="22"/>
          <w:szCs w:val="22"/>
        </w:rPr>
        <w:t>Sincerely,</w:t>
      </w:r>
    </w:p>
    <w:p w:rsidR="000E5CE8" w:rsidRPr="00BF3589" w:rsidRDefault="000E5CE8" w:rsidP="00A37241">
      <w:pPr>
        <w:autoSpaceDE w:val="0"/>
        <w:autoSpaceDN w:val="0"/>
        <w:ind w:left="576" w:right="576" w:firstLine="720"/>
        <w:jc w:val="both"/>
        <w:rPr>
          <w:rFonts w:ascii="Times New Roman" w:hAnsi="Times New Roman"/>
          <w:sz w:val="22"/>
          <w:szCs w:val="22"/>
        </w:rPr>
      </w:pPr>
    </w:p>
    <w:p w:rsidR="000E5CE8" w:rsidRPr="00BF3589" w:rsidRDefault="000E5CE8" w:rsidP="00A37241">
      <w:pPr>
        <w:autoSpaceDE w:val="0"/>
        <w:autoSpaceDN w:val="0"/>
        <w:ind w:left="576" w:right="576" w:firstLine="720"/>
        <w:jc w:val="both"/>
        <w:rPr>
          <w:rFonts w:ascii="Times New Roman" w:hAnsi="Times New Roman"/>
          <w:sz w:val="22"/>
          <w:szCs w:val="22"/>
        </w:rPr>
      </w:pPr>
    </w:p>
    <w:p w:rsidR="000E5CE8" w:rsidRPr="00BF3589" w:rsidRDefault="000E5CE8" w:rsidP="00A37241">
      <w:pPr>
        <w:ind w:left="576" w:right="576" w:firstLine="720"/>
        <w:jc w:val="both"/>
        <w:rPr>
          <w:rFonts w:ascii="Times New Roman" w:eastAsia="Calibri" w:hAnsi="Times New Roman"/>
          <w:iCs/>
          <w:sz w:val="22"/>
          <w:szCs w:val="22"/>
        </w:rPr>
      </w:pPr>
      <w:bookmarkStart w:id="1" w:name="_Hlk488679565"/>
    </w:p>
    <w:bookmarkEnd w:id="1"/>
    <w:p w:rsidR="000E5CE8" w:rsidRPr="00BF3589" w:rsidRDefault="00B81E81" w:rsidP="00A37241">
      <w:pPr>
        <w:ind w:left="576" w:right="576" w:firstLine="720"/>
        <w:jc w:val="both"/>
        <w:rPr>
          <w:rFonts w:ascii="Times New Roman" w:hAnsi="Times New Roman"/>
          <w:sz w:val="22"/>
          <w:szCs w:val="22"/>
        </w:rPr>
      </w:pPr>
      <w:r w:rsidRPr="00BF3589">
        <w:rPr>
          <w:rFonts w:ascii="Times New Roman" w:eastAsia="Calibri" w:hAnsi="Times New Roman"/>
          <w:sz w:val="22"/>
          <w:szCs w:val="22"/>
        </w:rPr>
        <w:tab/>
      </w:r>
      <w:r w:rsidRPr="00BF3589">
        <w:rPr>
          <w:rFonts w:ascii="Times New Roman" w:eastAsia="Calibri" w:hAnsi="Times New Roman"/>
          <w:sz w:val="22"/>
          <w:szCs w:val="22"/>
        </w:rPr>
        <w:tab/>
      </w:r>
      <w:r w:rsidRPr="00BF3589">
        <w:rPr>
          <w:rFonts w:ascii="Times New Roman" w:eastAsia="Calibri" w:hAnsi="Times New Roman"/>
          <w:sz w:val="22"/>
          <w:szCs w:val="22"/>
        </w:rPr>
        <w:tab/>
      </w:r>
      <w:r w:rsidRPr="00BF3589">
        <w:rPr>
          <w:rFonts w:ascii="Times New Roman" w:eastAsia="Calibri" w:hAnsi="Times New Roman"/>
          <w:sz w:val="22"/>
          <w:szCs w:val="22"/>
        </w:rPr>
        <w:tab/>
      </w:r>
      <w:r w:rsidRPr="00BF3589">
        <w:rPr>
          <w:rFonts w:ascii="Times New Roman" w:eastAsia="Calibri" w:hAnsi="Times New Roman"/>
          <w:sz w:val="22"/>
          <w:szCs w:val="22"/>
        </w:rPr>
        <w:tab/>
      </w:r>
      <w:r w:rsidRPr="00BF3589">
        <w:rPr>
          <w:rFonts w:ascii="Times New Roman" w:eastAsia="Calibri" w:hAnsi="Times New Roman"/>
          <w:sz w:val="22"/>
          <w:szCs w:val="22"/>
        </w:rPr>
        <w:tab/>
      </w:r>
      <w:r w:rsidR="00322597" w:rsidRPr="00BF3589">
        <w:rPr>
          <w:rFonts w:ascii="Times New Roman" w:eastAsia="Calibri" w:hAnsi="Times New Roman"/>
          <w:sz w:val="22"/>
          <w:szCs w:val="22"/>
        </w:rPr>
        <w:t>Township</w:t>
      </w:r>
      <w:r w:rsidR="000E5CE8" w:rsidRPr="00BF3589">
        <w:rPr>
          <w:rFonts w:ascii="Times New Roman" w:eastAsia="Calibri" w:hAnsi="Times New Roman"/>
          <w:sz w:val="22"/>
          <w:szCs w:val="22"/>
        </w:rPr>
        <w:t xml:space="preserve"> FOIA Coordinator</w:t>
      </w:r>
    </w:p>
    <w:p w:rsidR="00392771" w:rsidRPr="000E5CE8" w:rsidRDefault="00A37241" w:rsidP="004513F2">
      <w:pPr>
        <w:ind w:left="360"/>
        <w:rPr>
          <w:rFonts w:ascii="Times New Roman" w:eastAsia="Calibri" w:hAnsi="Times New Roman"/>
        </w:rPr>
      </w:pPr>
      <w:r>
        <w:rPr>
          <w:rFonts w:ascii="Constantia" w:eastAsia="Calibri" w:hAnsi="Constantia"/>
          <w:sz w:val="20"/>
          <w:szCs w:val="20"/>
        </w:rPr>
        <w:t xml:space="preserve"> </w:t>
      </w:r>
    </w:p>
    <w:p w:rsidR="006008AB" w:rsidRPr="000E5CE8" w:rsidRDefault="006008AB">
      <w:pPr>
        <w:rPr>
          <w:rFonts w:ascii="Times New Roman" w:hAnsi="Times New Roman"/>
        </w:rPr>
      </w:pPr>
    </w:p>
    <w:sectPr w:rsidR="006008AB" w:rsidRPr="000E5CE8" w:rsidSect="006008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70" w:rsidRDefault="00205B70" w:rsidP="00F87C54">
      <w:r>
        <w:separator/>
      </w:r>
    </w:p>
  </w:endnote>
  <w:endnote w:type="continuationSeparator" w:id="0">
    <w:p w:rsidR="00205B70" w:rsidRDefault="00205B70" w:rsidP="00F8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22819"/>
      <w:docPartObj>
        <w:docPartGallery w:val="Page Numbers (Bottom of Page)"/>
        <w:docPartUnique/>
      </w:docPartObj>
    </w:sdtPr>
    <w:sdtEndPr/>
    <w:sdtContent>
      <w:p w:rsidR="00E55B04" w:rsidRDefault="002B7F7C">
        <w:pPr>
          <w:pStyle w:val="Footer"/>
          <w:jc w:val="center"/>
        </w:pPr>
        <w:r>
          <w:fldChar w:fldCharType="begin"/>
        </w:r>
        <w:r>
          <w:instrText xml:space="preserve"> PAGE   \* MERGEFORMAT </w:instrText>
        </w:r>
        <w:r>
          <w:fldChar w:fldCharType="separate"/>
        </w:r>
        <w:r w:rsidR="0087499B">
          <w:rPr>
            <w:noProof/>
          </w:rPr>
          <w:t>3</w:t>
        </w:r>
        <w:r>
          <w:rPr>
            <w:noProof/>
          </w:rPr>
          <w:fldChar w:fldCharType="end"/>
        </w:r>
      </w:p>
    </w:sdtContent>
  </w:sdt>
  <w:p w:rsidR="00E55B04" w:rsidRDefault="00E5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70" w:rsidRDefault="00205B70" w:rsidP="00F87C54">
      <w:r>
        <w:separator/>
      </w:r>
    </w:p>
  </w:footnote>
  <w:footnote w:type="continuationSeparator" w:id="0">
    <w:p w:rsidR="00205B70" w:rsidRDefault="00205B70" w:rsidP="00F87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BE"/>
    <w:multiLevelType w:val="hybridMultilevel"/>
    <w:tmpl w:val="E9E48CD0"/>
    <w:lvl w:ilvl="0" w:tplc="53DE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7022B"/>
    <w:multiLevelType w:val="hybridMultilevel"/>
    <w:tmpl w:val="3AEE16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935FF"/>
    <w:multiLevelType w:val="hybridMultilevel"/>
    <w:tmpl w:val="3C8A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F4828"/>
    <w:multiLevelType w:val="hybridMultilevel"/>
    <w:tmpl w:val="C2F2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37D92"/>
    <w:multiLevelType w:val="hybridMultilevel"/>
    <w:tmpl w:val="3AEE16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1427A"/>
    <w:multiLevelType w:val="multilevel"/>
    <w:tmpl w:val="1662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F5307"/>
    <w:multiLevelType w:val="multilevel"/>
    <w:tmpl w:val="D724F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07064A"/>
    <w:multiLevelType w:val="hybridMultilevel"/>
    <w:tmpl w:val="EE4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463"/>
    <w:rsid w:val="000062FE"/>
    <w:rsid w:val="00092E7E"/>
    <w:rsid w:val="000B7D8B"/>
    <w:rsid w:val="000C5459"/>
    <w:rsid w:val="000E18CA"/>
    <w:rsid w:val="000E5CE8"/>
    <w:rsid w:val="000E6C4F"/>
    <w:rsid w:val="00105582"/>
    <w:rsid w:val="00155BAB"/>
    <w:rsid w:val="00162BE6"/>
    <w:rsid w:val="001730EB"/>
    <w:rsid w:val="00184AE8"/>
    <w:rsid w:val="001A3B34"/>
    <w:rsid w:val="00205B70"/>
    <w:rsid w:val="002B7F7C"/>
    <w:rsid w:val="002C3CEB"/>
    <w:rsid w:val="00304164"/>
    <w:rsid w:val="00322597"/>
    <w:rsid w:val="00377BAF"/>
    <w:rsid w:val="00392771"/>
    <w:rsid w:val="00395EC1"/>
    <w:rsid w:val="003F6E86"/>
    <w:rsid w:val="004513F2"/>
    <w:rsid w:val="0048556D"/>
    <w:rsid w:val="004D28A5"/>
    <w:rsid w:val="004D3D3B"/>
    <w:rsid w:val="0051205D"/>
    <w:rsid w:val="00513937"/>
    <w:rsid w:val="00562864"/>
    <w:rsid w:val="00583A68"/>
    <w:rsid w:val="005A2ACE"/>
    <w:rsid w:val="005D0AF5"/>
    <w:rsid w:val="006008AB"/>
    <w:rsid w:val="006602D1"/>
    <w:rsid w:val="00664715"/>
    <w:rsid w:val="00667A51"/>
    <w:rsid w:val="00686780"/>
    <w:rsid w:val="0078297F"/>
    <w:rsid w:val="007D7677"/>
    <w:rsid w:val="00821A86"/>
    <w:rsid w:val="00836050"/>
    <w:rsid w:val="0087499B"/>
    <w:rsid w:val="008936E5"/>
    <w:rsid w:val="008E141B"/>
    <w:rsid w:val="00921CAC"/>
    <w:rsid w:val="009A26F0"/>
    <w:rsid w:val="009B1F9E"/>
    <w:rsid w:val="009C61F4"/>
    <w:rsid w:val="00A37241"/>
    <w:rsid w:val="00AA5686"/>
    <w:rsid w:val="00B81E81"/>
    <w:rsid w:val="00B904F4"/>
    <w:rsid w:val="00BA5C4B"/>
    <w:rsid w:val="00BD37E0"/>
    <w:rsid w:val="00BE0A9C"/>
    <w:rsid w:val="00BF3589"/>
    <w:rsid w:val="00C26B89"/>
    <w:rsid w:val="00D031DD"/>
    <w:rsid w:val="00D20463"/>
    <w:rsid w:val="00D22026"/>
    <w:rsid w:val="00D37CCC"/>
    <w:rsid w:val="00D46D68"/>
    <w:rsid w:val="00D63CF3"/>
    <w:rsid w:val="00D8677D"/>
    <w:rsid w:val="00E348AA"/>
    <w:rsid w:val="00E51B21"/>
    <w:rsid w:val="00E55B04"/>
    <w:rsid w:val="00E81B00"/>
    <w:rsid w:val="00EA585D"/>
    <w:rsid w:val="00EE5178"/>
    <w:rsid w:val="00F61488"/>
    <w:rsid w:val="00F85F37"/>
    <w:rsid w:val="00F87C54"/>
    <w:rsid w:val="00F969DF"/>
    <w:rsid w:val="00FD0D0C"/>
    <w:rsid w:val="00FD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B45C2-64B5-480B-B73C-9D48978B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F0"/>
    <w:pPr>
      <w:spacing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0463"/>
    <w:rPr>
      <w:color w:val="0000FF"/>
      <w:u w:val="single"/>
    </w:rPr>
  </w:style>
  <w:style w:type="paragraph" w:styleId="Date">
    <w:name w:val="Date"/>
    <w:basedOn w:val="Normal"/>
    <w:next w:val="Normal"/>
    <w:link w:val="DateChar"/>
    <w:semiHidden/>
    <w:unhideWhenUsed/>
    <w:rsid w:val="00D20463"/>
  </w:style>
  <w:style w:type="character" w:customStyle="1" w:styleId="DateChar">
    <w:name w:val="Date Char"/>
    <w:basedOn w:val="DefaultParagraphFont"/>
    <w:link w:val="Date"/>
    <w:semiHidden/>
    <w:rsid w:val="00D20463"/>
    <w:rPr>
      <w:rFonts w:ascii="Trebuchet MS" w:eastAsia="Times New Roman" w:hAnsi="Trebuchet MS" w:cs="Times New Roman"/>
      <w:sz w:val="24"/>
      <w:szCs w:val="24"/>
    </w:rPr>
  </w:style>
  <w:style w:type="paragraph" w:styleId="NoSpacing">
    <w:name w:val="No Spacing"/>
    <w:uiPriority w:val="1"/>
    <w:qFormat/>
    <w:rsid w:val="00D20463"/>
    <w:pPr>
      <w:spacing w:line="240" w:lineRule="auto"/>
      <w:outlineLvl w:val="0"/>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F87C54"/>
    <w:pPr>
      <w:tabs>
        <w:tab w:val="center" w:pos="4680"/>
        <w:tab w:val="right" w:pos="9360"/>
      </w:tabs>
    </w:pPr>
  </w:style>
  <w:style w:type="character" w:customStyle="1" w:styleId="HeaderChar">
    <w:name w:val="Header Char"/>
    <w:basedOn w:val="DefaultParagraphFont"/>
    <w:link w:val="Header"/>
    <w:uiPriority w:val="99"/>
    <w:semiHidden/>
    <w:rsid w:val="00F87C54"/>
    <w:rPr>
      <w:rFonts w:ascii="Trebuchet MS" w:eastAsia="Times New Roman" w:hAnsi="Trebuchet MS" w:cs="Times New Roman"/>
      <w:sz w:val="24"/>
      <w:szCs w:val="24"/>
    </w:rPr>
  </w:style>
  <w:style w:type="paragraph" w:styleId="Footer">
    <w:name w:val="footer"/>
    <w:basedOn w:val="Normal"/>
    <w:link w:val="FooterChar"/>
    <w:uiPriority w:val="99"/>
    <w:unhideWhenUsed/>
    <w:rsid w:val="00F87C54"/>
    <w:pPr>
      <w:tabs>
        <w:tab w:val="center" w:pos="4680"/>
        <w:tab w:val="right" w:pos="9360"/>
      </w:tabs>
    </w:pPr>
  </w:style>
  <w:style w:type="character" w:customStyle="1" w:styleId="FooterChar">
    <w:name w:val="Footer Char"/>
    <w:basedOn w:val="DefaultParagraphFont"/>
    <w:link w:val="Footer"/>
    <w:uiPriority w:val="99"/>
    <w:rsid w:val="00F87C54"/>
    <w:rPr>
      <w:rFonts w:ascii="Trebuchet MS" w:eastAsia="Times New Roman" w:hAnsi="Trebuchet MS" w:cs="Times New Roman"/>
      <w:sz w:val="24"/>
      <w:szCs w:val="24"/>
    </w:rPr>
  </w:style>
  <w:style w:type="paragraph" w:styleId="ListParagraph">
    <w:name w:val="List Paragraph"/>
    <w:basedOn w:val="Normal"/>
    <w:uiPriority w:val="34"/>
    <w:qFormat/>
    <w:rsid w:val="00392771"/>
    <w:pPr>
      <w:ind w:left="720"/>
      <w:contextualSpacing/>
    </w:pPr>
  </w:style>
  <w:style w:type="paragraph" w:styleId="BalloonText">
    <w:name w:val="Balloon Text"/>
    <w:basedOn w:val="Normal"/>
    <w:link w:val="BalloonTextChar"/>
    <w:uiPriority w:val="99"/>
    <w:semiHidden/>
    <w:unhideWhenUsed/>
    <w:rsid w:val="00B904F4"/>
    <w:rPr>
      <w:rFonts w:ascii="Tahoma" w:hAnsi="Tahoma" w:cs="Tahoma"/>
      <w:sz w:val="16"/>
      <w:szCs w:val="16"/>
    </w:rPr>
  </w:style>
  <w:style w:type="character" w:customStyle="1" w:styleId="BalloonTextChar">
    <w:name w:val="Balloon Text Char"/>
    <w:basedOn w:val="DefaultParagraphFont"/>
    <w:link w:val="BalloonText"/>
    <w:uiPriority w:val="99"/>
    <w:semiHidden/>
    <w:rsid w:val="00B904F4"/>
    <w:rPr>
      <w:rFonts w:ascii="Tahoma" w:eastAsia="Times New Roman" w:hAnsi="Tahoma" w:cs="Tahoma"/>
      <w:sz w:val="16"/>
      <w:szCs w:val="16"/>
    </w:rPr>
  </w:style>
  <w:style w:type="paragraph" w:styleId="NormalWeb">
    <w:name w:val="Normal (Web)"/>
    <w:basedOn w:val="Normal"/>
    <w:uiPriority w:val="99"/>
    <w:unhideWhenUsed/>
    <w:rsid w:val="000E5C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2539">
      <w:bodyDiv w:val="1"/>
      <w:marLeft w:val="0"/>
      <w:marRight w:val="0"/>
      <w:marTop w:val="0"/>
      <w:marBottom w:val="0"/>
      <w:divBdr>
        <w:top w:val="none" w:sz="0" w:space="0" w:color="auto"/>
        <w:left w:val="none" w:sz="0" w:space="0" w:color="auto"/>
        <w:bottom w:val="none" w:sz="0" w:space="0" w:color="auto"/>
        <w:right w:val="none" w:sz="0" w:space="0" w:color="auto"/>
      </w:divBdr>
    </w:div>
    <w:div w:id="673842707">
      <w:bodyDiv w:val="1"/>
      <w:marLeft w:val="0"/>
      <w:marRight w:val="0"/>
      <w:marTop w:val="0"/>
      <w:marBottom w:val="0"/>
      <w:divBdr>
        <w:top w:val="none" w:sz="0" w:space="0" w:color="auto"/>
        <w:left w:val="none" w:sz="0" w:space="0" w:color="auto"/>
        <w:bottom w:val="none" w:sz="0" w:space="0" w:color="auto"/>
        <w:right w:val="none" w:sz="0" w:space="0" w:color="auto"/>
      </w:divBdr>
    </w:div>
    <w:div w:id="717901494">
      <w:bodyDiv w:val="1"/>
      <w:marLeft w:val="0"/>
      <w:marRight w:val="0"/>
      <w:marTop w:val="0"/>
      <w:marBottom w:val="0"/>
      <w:divBdr>
        <w:top w:val="none" w:sz="0" w:space="0" w:color="auto"/>
        <w:left w:val="none" w:sz="0" w:space="0" w:color="auto"/>
        <w:bottom w:val="none" w:sz="0" w:space="0" w:color="auto"/>
        <w:right w:val="none" w:sz="0" w:space="0" w:color="auto"/>
      </w:divBdr>
    </w:div>
    <w:div w:id="1395198454">
      <w:bodyDiv w:val="1"/>
      <w:marLeft w:val="0"/>
      <w:marRight w:val="0"/>
      <w:marTop w:val="0"/>
      <w:marBottom w:val="0"/>
      <w:divBdr>
        <w:top w:val="none" w:sz="0" w:space="0" w:color="auto"/>
        <w:left w:val="none" w:sz="0" w:space="0" w:color="auto"/>
        <w:bottom w:val="none" w:sz="0" w:space="0" w:color="auto"/>
        <w:right w:val="none" w:sz="0" w:space="0" w:color="auto"/>
      </w:divBdr>
      <w:divsChild>
        <w:div w:id="2048020136">
          <w:marLeft w:val="0"/>
          <w:marRight w:val="0"/>
          <w:marTop w:val="0"/>
          <w:marBottom w:val="0"/>
          <w:divBdr>
            <w:top w:val="none" w:sz="0" w:space="0" w:color="auto"/>
            <w:left w:val="none" w:sz="0" w:space="0" w:color="auto"/>
            <w:bottom w:val="none" w:sz="0" w:space="0" w:color="auto"/>
            <w:right w:val="none" w:sz="0" w:space="0" w:color="auto"/>
          </w:divBdr>
        </w:div>
        <w:div w:id="349261369">
          <w:marLeft w:val="0"/>
          <w:marRight w:val="0"/>
          <w:marTop w:val="0"/>
          <w:marBottom w:val="0"/>
          <w:divBdr>
            <w:top w:val="none" w:sz="0" w:space="0" w:color="auto"/>
            <w:left w:val="none" w:sz="0" w:space="0" w:color="auto"/>
            <w:bottom w:val="none" w:sz="0" w:space="0" w:color="auto"/>
            <w:right w:val="none" w:sz="0" w:space="0" w:color="auto"/>
          </w:divBdr>
        </w:div>
        <w:div w:id="2145730596">
          <w:marLeft w:val="0"/>
          <w:marRight w:val="0"/>
          <w:marTop w:val="0"/>
          <w:marBottom w:val="0"/>
          <w:divBdr>
            <w:top w:val="none" w:sz="0" w:space="0" w:color="auto"/>
            <w:left w:val="none" w:sz="0" w:space="0" w:color="auto"/>
            <w:bottom w:val="none" w:sz="0" w:space="0" w:color="auto"/>
            <w:right w:val="none" w:sz="0" w:space="0" w:color="auto"/>
          </w:divBdr>
        </w:div>
        <w:div w:id="1129855082">
          <w:marLeft w:val="0"/>
          <w:marRight w:val="0"/>
          <w:marTop w:val="0"/>
          <w:marBottom w:val="0"/>
          <w:divBdr>
            <w:top w:val="none" w:sz="0" w:space="0" w:color="auto"/>
            <w:left w:val="none" w:sz="0" w:space="0" w:color="auto"/>
            <w:bottom w:val="none" w:sz="0" w:space="0" w:color="auto"/>
            <w:right w:val="none" w:sz="0" w:space="0" w:color="auto"/>
          </w:divBdr>
        </w:div>
        <w:div w:id="1667787349">
          <w:marLeft w:val="0"/>
          <w:marRight w:val="0"/>
          <w:marTop w:val="0"/>
          <w:marBottom w:val="0"/>
          <w:divBdr>
            <w:top w:val="none" w:sz="0" w:space="0" w:color="auto"/>
            <w:left w:val="none" w:sz="0" w:space="0" w:color="auto"/>
            <w:bottom w:val="none" w:sz="0" w:space="0" w:color="auto"/>
            <w:right w:val="none" w:sz="0" w:space="0" w:color="auto"/>
          </w:divBdr>
        </w:div>
        <w:div w:id="1487892749">
          <w:marLeft w:val="0"/>
          <w:marRight w:val="0"/>
          <w:marTop w:val="0"/>
          <w:marBottom w:val="0"/>
          <w:divBdr>
            <w:top w:val="none" w:sz="0" w:space="0" w:color="auto"/>
            <w:left w:val="none" w:sz="0" w:space="0" w:color="auto"/>
            <w:bottom w:val="none" w:sz="0" w:space="0" w:color="auto"/>
            <w:right w:val="none" w:sz="0" w:space="0" w:color="auto"/>
          </w:divBdr>
        </w:div>
        <w:div w:id="652873368">
          <w:marLeft w:val="0"/>
          <w:marRight w:val="0"/>
          <w:marTop w:val="0"/>
          <w:marBottom w:val="0"/>
          <w:divBdr>
            <w:top w:val="none" w:sz="0" w:space="0" w:color="auto"/>
            <w:left w:val="none" w:sz="0" w:space="0" w:color="auto"/>
            <w:bottom w:val="none" w:sz="0" w:space="0" w:color="auto"/>
            <w:right w:val="none" w:sz="0" w:space="0" w:color="auto"/>
          </w:divBdr>
        </w:div>
        <w:div w:id="1886331746">
          <w:marLeft w:val="0"/>
          <w:marRight w:val="0"/>
          <w:marTop w:val="0"/>
          <w:marBottom w:val="0"/>
          <w:divBdr>
            <w:top w:val="none" w:sz="0" w:space="0" w:color="auto"/>
            <w:left w:val="none" w:sz="0" w:space="0" w:color="auto"/>
            <w:bottom w:val="none" w:sz="0" w:space="0" w:color="auto"/>
            <w:right w:val="none" w:sz="0" w:space="0" w:color="auto"/>
          </w:divBdr>
        </w:div>
        <w:div w:id="127208650">
          <w:marLeft w:val="0"/>
          <w:marRight w:val="0"/>
          <w:marTop w:val="0"/>
          <w:marBottom w:val="0"/>
          <w:divBdr>
            <w:top w:val="none" w:sz="0" w:space="0" w:color="auto"/>
            <w:left w:val="none" w:sz="0" w:space="0" w:color="auto"/>
            <w:bottom w:val="none" w:sz="0" w:space="0" w:color="auto"/>
            <w:right w:val="none" w:sz="0" w:space="0" w:color="auto"/>
          </w:divBdr>
        </w:div>
        <w:div w:id="991177757">
          <w:marLeft w:val="0"/>
          <w:marRight w:val="0"/>
          <w:marTop w:val="0"/>
          <w:marBottom w:val="0"/>
          <w:divBdr>
            <w:top w:val="none" w:sz="0" w:space="0" w:color="auto"/>
            <w:left w:val="none" w:sz="0" w:space="0" w:color="auto"/>
            <w:bottom w:val="none" w:sz="0" w:space="0" w:color="auto"/>
            <w:right w:val="none" w:sz="0" w:space="0" w:color="auto"/>
          </w:divBdr>
        </w:div>
        <w:div w:id="1851288644">
          <w:marLeft w:val="0"/>
          <w:marRight w:val="0"/>
          <w:marTop w:val="0"/>
          <w:marBottom w:val="0"/>
          <w:divBdr>
            <w:top w:val="none" w:sz="0" w:space="0" w:color="auto"/>
            <w:left w:val="none" w:sz="0" w:space="0" w:color="auto"/>
            <w:bottom w:val="none" w:sz="0" w:space="0" w:color="auto"/>
            <w:right w:val="none" w:sz="0" w:space="0" w:color="auto"/>
          </w:divBdr>
        </w:div>
        <w:div w:id="312611437">
          <w:marLeft w:val="0"/>
          <w:marRight w:val="0"/>
          <w:marTop w:val="0"/>
          <w:marBottom w:val="0"/>
          <w:divBdr>
            <w:top w:val="none" w:sz="0" w:space="0" w:color="auto"/>
            <w:left w:val="none" w:sz="0" w:space="0" w:color="auto"/>
            <w:bottom w:val="none" w:sz="0" w:space="0" w:color="auto"/>
            <w:right w:val="none" w:sz="0" w:space="0" w:color="auto"/>
          </w:divBdr>
        </w:div>
        <w:div w:id="172491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_______________.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thall</dc:creator>
  <cp:lastModifiedBy>Catherine Mullhaupt</cp:lastModifiedBy>
  <cp:revision>2</cp:revision>
  <cp:lastPrinted>2018-08-23T02:29:00Z</cp:lastPrinted>
  <dcterms:created xsi:type="dcterms:W3CDTF">2020-08-14T15:08:00Z</dcterms:created>
  <dcterms:modified xsi:type="dcterms:W3CDTF">2020-08-14T15:08:00Z</dcterms:modified>
</cp:coreProperties>
</file>